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9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277"/>
        <w:gridCol w:w="2126"/>
        <w:gridCol w:w="585"/>
        <w:gridCol w:w="4820"/>
      </w:tblGrid>
      <w:tr>
        <w:trPr>
          <w:trHeight w:val="794" w:hRule="atLeast"/>
        </w:trPr>
        <w:tc>
          <w:tcPr>
            <w:tcW w:w="4520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/>
              <w:drawing>
                <wp:inline distT="0" distB="0" distL="0" distR="0">
                  <wp:extent cx="1109345" cy="50038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79" t="-1503" r="-679" b="-1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gridSpan w:val="2"/>
            <w:vMerge w:val="restart"/>
            <w:tcBorders/>
          </w:tcPr>
          <w:p>
            <w:pPr>
              <w:pStyle w:val="ConsPlusNormal"/>
              <w:widowControl w:val="false"/>
              <w:spacing w:lineRule="exact" w:line="300"/>
              <w:ind w:left="0" w:right="0" w:firstLine="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142" w:hRule="atLeast"/>
        </w:trPr>
        <w:tc>
          <w:tcPr>
            <w:tcW w:w="4520" w:type="dxa"/>
            <w:gridSpan w:val="3"/>
            <w:tcBorders/>
          </w:tcPr>
          <w:p>
            <w:pPr>
              <w:pStyle w:val="Style34"/>
              <w:widowControl w:val="false"/>
              <w:rPr>
                <w:rStyle w:val="Style16"/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5405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1"/>
                <w:szCs w:val="21"/>
                <w:lang w:val="ru-RU" w:eastAsia="ru-RU"/>
              </w:rPr>
            </w:pPr>
            <w:r>
              <w:rPr>
                <w:b/>
                <w:sz w:val="21"/>
                <w:szCs w:val="21"/>
                <w:lang w:val="ru-RU" w:eastAsia="ru-RU"/>
              </w:rPr>
            </w:r>
          </w:p>
        </w:tc>
      </w:tr>
      <w:tr>
        <w:trPr>
          <w:trHeight w:val="631" w:hRule="atLeast"/>
        </w:trPr>
        <w:tc>
          <w:tcPr>
            <w:tcW w:w="4520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ФЕДЕРАЛЬНОЕ ГОСУДАРСТВЕННОЕ УНИТАРНОЕ ПРЕДПРИЯТИЕ «ГОРНО-ХИМИЧЕСКИЙ КОМБИНАТ»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(ФГУП «ГХК)</w:t>
            </w:r>
          </w:p>
        </w:tc>
        <w:tc>
          <w:tcPr>
            <w:tcW w:w="585" w:type="dxa"/>
            <w:vMerge w:val="restart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</w:r>
          </w:p>
        </w:tc>
        <w:tc>
          <w:tcPr>
            <w:tcW w:w="482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Calibri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en-GB" w:eastAsia="zh-CN" w:bidi="ar-SA"/>
              </w:rPr>
              <w:t xml:space="preserve">Ректору ФГАОУ ВО «Сибирский государственный университет науки </w:t>
              <w:br/>
              <w:t xml:space="preserve">и технологии имени академика </w:t>
              <w:br/>
              <w:t>М.Ф. Решетнева»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Calibri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en-GB" w:eastAsia="zh-CN" w:bidi="ar-SA"/>
              </w:rPr>
              <w:t>Акбулатову Э.Ш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Calibri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en-GB" w:eastAsia="zh-CN" w:bidi="ar-SA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Calibri" w:cs="PT Astra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en-GB" w:eastAsia="zh-CN" w:bidi="ar-SA"/>
              </w:rPr>
              <w:t>rector@sibsau.ru</w:t>
            </w:r>
          </w:p>
          <w:p>
            <w:pPr>
              <w:pStyle w:val="Normal"/>
              <w:widowControl w:val="false"/>
              <w:rPr>
                <w:rFonts w:eastAsia="Calibri" w:cs="Times New Roman"/>
                <w:color w:val="808080"/>
                <w:sz w:val="28"/>
                <w:szCs w:val="24"/>
                <w:lang w:val="ru-RU" w:eastAsia="zh-CN" w:bidi="ar-SA"/>
              </w:rPr>
            </w:pPr>
            <w:r>
              <w:rPr>
                <w:rFonts w:eastAsia="Calibri" w:cs="Times New Roman"/>
                <w:color w:val="808080"/>
                <w:sz w:val="28"/>
                <w:szCs w:val="24"/>
                <w:lang w:val="ru-RU" w:eastAsia="zh-CN" w:bidi="ar-SA"/>
              </w:rPr>
            </w:r>
          </w:p>
          <w:p>
            <w:pPr>
              <w:pStyle w:val="Normal"/>
              <w:widowControl w:val="false"/>
              <w:rPr>
                <w:rFonts w:eastAsia="Calibri" w:cs="Times New Roman"/>
                <w:color w:val="808080"/>
                <w:sz w:val="28"/>
                <w:szCs w:val="24"/>
                <w:lang w:val="ru-RU" w:eastAsia="zh-CN" w:bidi="ar-SA"/>
              </w:rPr>
            </w:pPr>
            <w:r>
              <w:rPr>
                <w:rFonts w:eastAsia="Calibri" w:cs="Times New Roman"/>
                <w:color w:val="808080"/>
                <w:sz w:val="28"/>
                <w:szCs w:val="24"/>
                <w:lang w:val="ru-RU" w:eastAsia="zh-CN" w:bidi="ar-SA"/>
              </w:rPr>
            </w:r>
          </w:p>
        </w:tc>
      </w:tr>
      <w:tr>
        <w:trPr>
          <w:trHeight w:val="142" w:hRule="atLeast"/>
        </w:trPr>
        <w:tc>
          <w:tcPr>
            <w:tcW w:w="4520" w:type="dxa"/>
            <w:gridSpan w:val="3"/>
            <w:tcBorders/>
          </w:tcPr>
          <w:p>
            <w:pPr>
              <w:pStyle w:val="Style34"/>
              <w:widowControl w:val="false"/>
              <w:rPr>
                <w:rStyle w:val="Style16"/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585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</w:r>
          </w:p>
        </w:tc>
        <w:tc>
          <w:tcPr>
            <w:tcW w:w="4820" w:type="dxa"/>
            <w:vMerge w:val="continue"/>
            <w:tcBorders/>
          </w:tcPr>
          <w:p>
            <w:pPr>
              <w:pStyle w:val="Style30"/>
              <w:widowControl w:val="false"/>
              <w:snapToGrid w:val="false"/>
              <w:ind w:left="0" w:right="0" w:hanging="0"/>
              <w:jc w:val="left"/>
              <w:rPr>
                <w:b/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</w:r>
          </w:p>
        </w:tc>
      </w:tr>
      <w:tr>
        <w:trPr>
          <w:trHeight w:val="630" w:hRule="atLeast"/>
        </w:trPr>
        <w:tc>
          <w:tcPr>
            <w:tcW w:w="4520" w:type="dxa"/>
            <w:gridSpan w:val="3"/>
            <w:tcBorders/>
          </w:tcPr>
          <w:p>
            <w:pPr>
              <w:pStyle w:val="Style32"/>
              <w:widowControl w:val="false"/>
              <w:rPr/>
            </w:pPr>
            <w:r>
              <w:rPr/>
              <w:t>ул. Ленина, д. 53, г. Железногорск,</w:t>
            </w:r>
          </w:p>
          <w:p>
            <w:pPr>
              <w:pStyle w:val="Style32"/>
              <w:widowControl w:val="false"/>
              <w:rPr/>
            </w:pPr>
            <w:r>
              <w:rPr/>
              <w:t>Красноярский край, Россия, 662972</w:t>
            </w:r>
          </w:p>
          <w:p>
            <w:pPr>
              <w:pStyle w:val="Style32"/>
              <w:widowControl w:val="false"/>
              <w:rPr/>
            </w:pPr>
            <w:r>
              <w:rPr/>
              <w:t>Телеграф: Железногорск 288006 «СТАРТ»</w:t>
            </w:r>
          </w:p>
          <w:p>
            <w:pPr>
              <w:pStyle w:val="Style32"/>
              <w:widowControl w:val="false"/>
              <w:rPr/>
            </w:pPr>
            <w:r>
              <w:rPr/>
              <w:t>Телефон: 8 (391) 266-23-37, 8 (3919) 75-20-13</w:t>
            </w:r>
          </w:p>
          <w:p>
            <w:pPr>
              <w:pStyle w:val="Style32"/>
              <w:widowControl w:val="false"/>
              <w:rPr/>
            </w:pPr>
            <w:r>
              <w:rPr/>
              <w:t>Факс: 8 (391) 266-23-34</w:t>
            </w:r>
          </w:p>
          <w:p>
            <w:pPr>
              <w:pStyle w:val="Style32"/>
              <w:widowControl w:val="false"/>
              <w:rPr/>
            </w:pPr>
            <w:r>
              <w:rPr>
                <w:lang w:val="en-US" w:eastAsia="ru-RU"/>
              </w:rPr>
              <w:t>E</w:t>
            </w:r>
            <w:r>
              <w:rPr/>
              <w:t>-</w:t>
            </w:r>
            <w:r>
              <w:rPr>
                <w:lang w:val="en-US" w:eastAsia="ru-RU"/>
              </w:rPr>
              <w:t>mail</w:t>
            </w:r>
            <w:r>
              <w:rPr/>
              <w:t xml:space="preserve">: </w:t>
            </w:r>
            <w:hyperlink r:id="rId3">
              <w:r>
                <w:rPr>
                  <w:color w:val="000000"/>
                  <w:u w:val="none"/>
                  <w:lang w:val="de-DE" w:eastAsia="ru-RU"/>
                </w:rPr>
                <w:t>atomlink</w:t>
              </w:r>
              <w:r>
                <w:rPr>
                  <w:color w:val="000000"/>
                  <w:u w:val="none"/>
                </w:rPr>
                <w:t>@</w:t>
              </w:r>
              <w:r>
                <w:rPr>
                  <w:color w:val="000000"/>
                  <w:u w:val="none"/>
                  <w:lang w:val="de-DE" w:eastAsia="ru-RU"/>
                </w:rPr>
                <w:t>mcc</w:t>
              </w:r>
              <w:r>
                <w:rPr>
                  <w:color w:val="000000"/>
                  <w:u w:val="none"/>
                </w:rPr>
                <w:t>.</w:t>
              </w:r>
              <w:r>
                <w:rPr>
                  <w:color w:val="000000"/>
                  <w:u w:val="none"/>
                  <w:lang w:val="de-DE" w:eastAsia="ru-RU"/>
                </w:rPr>
                <w:t>krasnoyarsk</w:t>
              </w:r>
              <w:r>
                <w:rPr>
                  <w:color w:val="000000"/>
                  <w:u w:val="none"/>
                </w:rPr>
                <w:t>.</w:t>
              </w:r>
              <w:r>
                <w:rPr>
                  <w:color w:val="000000"/>
                  <w:u w:val="none"/>
                  <w:lang w:val="de-DE" w:eastAsia="ru-RU"/>
                </w:rPr>
                <w:t>su</w:t>
              </w:r>
            </w:hyperlink>
          </w:p>
          <w:p>
            <w:pPr>
              <w:pStyle w:val="Style32"/>
              <w:widowControl w:val="false"/>
              <w:rPr/>
            </w:pPr>
            <w:r>
              <w:rPr/>
              <w:t>ОКПО 07622986 ОГРН 1022401404871</w:t>
            </w:r>
          </w:p>
          <w:p>
            <w:pPr>
              <w:pStyle w:val="Style32"/>
              <w:widowControl w:val="false"/>
              <w:rPr/>
            </w:pPr>
            <w:r>
              <w:rPr/>
              <w:t>ИНН/КПП 2452000401/785150001</w:t>
            </w:r>
          </w:p>
        </w:tc>
        <w:tc>
          <w:tcPr>
            <w:tcW w:w="585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</w:r>
          </w:p>
        </w:tc>
        <w:tc>
          <w:tcPr>
            <w:tcW w:w="4820" w:type="dxa"/>
            <w:vMerge w:val="continue"/>
            <w:tcBorders/>
          </w:tcPr>
          <w:p>
            <w:pPr>
              <w:pStyle w:val="Style30"/>
              <w:widowControl w:val="false"/>
              <w:snapToGrid w:val="false"/>
              <w:ind w:left="0" w:right="0" w:hanging="0"/>
              <w:jc w:val="left"/>
              <w:rPr>
                <w:b/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</w:r>
          </w:p>
        </w:tc>
      </w:tr>
      <w:tr>
        <w:trPr>
          <w:trHeight w:val="454" w:hRule="atLeast"/>
        </w:trPr>
        <w:tc>
          <w:tcPr>
            <w:tcW w:w="2117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35"/>
              <w:widowControl w:val="false"/>
              <w:snapToGrid w:val="false"/>
              <w:jc w:val="center"/>
              <w:rPr>
                <w:b/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</w:t>
            </w: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  <w:lang w:val="ru-RU" w:eastAsia="ru-RU"/>
              </w:rPr>
              <w:t>10.06.2024</w:t>
            </w:r>
          </w:p>
        </w:tc>
        <w:tc>
          <w:tcPr>
            <w:tcW w:w="277" w:type="dxa"/>
            <w:tcBorders/>
            <w:vAlign w:val="bottom"/>
          </w:tcPr>
          <w:p>
            <w:pPr>
              <w:pStyle w:val="Style35"/>
              <w:widowControl w:val="false"/>
              <w:jc w:val="center"/>
              <w:rPr/>
            </w:pPr>
            <w:bookmarkStart w:id="0" w:name="stamp_date_and_number"/>
            <w:r>
              <w:rPr/>
              <w:t>№</w:t>
            </w:r>
            <w:bookmarkEnd w:id="0"/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35"/>
              <w:widowControl w:val="false"/>
              <w:snapToGrid w:val="false"/>
              <w:rPr/>
            </w:pPr>
            <w:r>
              <w:rPr/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212/01-08-05/12906</w:t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4820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</w:tr>
      <w:tr>
        <w:trPr>
          <w:trHeight w:val="283" w:hRule="exact"/>
        </w:trPr>
        <w:tc>
          <w:tcPr>
            <w:tcW w:w="4520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rStyle w:val="Style16"/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585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10"/>
                <w:szCs w:val="10"/>
                <w:lang w:val="ru-RU" w:eastAsia="ru-RU"/>
              </w:rPr>
            </w:pPr>
            <w:r>
              <w:rPr>
                <w:b/>
                <w:sz w:val="10"/>
                <w:szCs w:val="10"/>
                <w:lang w:val="ru-RU" w:eastAsia="ru-RU"/>
              </w:rPr>
            </w:r>
          </w:p>
        </w:tc>
        <w:tc>
          <w:tcPr>
            <w:tcW w:w="4820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10"/>
                <w:szCs w:val="10"/>
                <w:lang w:val="ru-RU" w:eastAsia="ru-RU"/>
              </w:rPr>
            </w:pPr>
            <w:r>
              <w:rPr>
                <w:b/>
                <w:sz w:val="10"/>
                <w:szCs w:val="10"/>
                <w:lang w:val="ru-RU" w:eastAsia="ru-RU"/>
              </w:rPr>
            </w:r>
          </w:p>
        </w:tc>
      </w:tr>
    </w:tbl>
    <w:p>
      <w:pPr>
        <w:pStyle w:val="ConsPlusNonformat"/>
        <w:bidi w:val="0"/>
        <w:ind w:left="0" w:right="0" w:hanging="0"/>
        <w:jc w:val="both"/>
        <w:rPr/>
      </w:pPr>
      <w:r>
        <w:rPr/>
      </w:r>
    </w:p>
    <w:p>
      <w:pPr>
        <w:pStyle w:val="ConsPlusNonformat"/>
        <w:bidi w:val="0"/>
        <w:ind w:left="0" w:right="0" w:hanging="0"/>
        <w:jc w:val="center"/>
        <w:rPr>
          <w:rFonts w:ascii="PT Astra Serif" w:hAnsi="PT Astra Serif" w:eastAsia="Calibri" w:cs="PT Astra Serif"/>
          <w:color w:val="auto"/>
          <w:sz w:val="24"/>
          <w:szCs w:val="24"/>
          <w:lang w:val="en-GB" w:eastAsia="zh-CN" w:bidi="ar-SA"/>
        </w:rPr>
      </w:pPr>
      <w:r>
        <w:rPr>
          <w:rFonts w:eastAsia="Calibri" w:cs="PT Astra Serif" w:ascii="PT Astra Serif" w:hAnsi="PT Astra Serif"/>
          <w:color w:val="auto"/>
          <w:sz w:val="24"/>
          <w:szCs w:val="24"/>
          <w:lang w:val="en-GB" w:eastAsia="zh-CN" w:bidi="ar-SA"/>
        </w:rPr>
        <w:t>ПРЕДЛОЖЕНИЕ</w:t>
      </w:r>
    </w:p>
    <w:p>
      <w:pPr>
        <w:pStyle w:val="ConsPlusNonformat"/>
        <w:bidi w:val="0"/>
        <w:ind w:left="0" w:right="0" w:hanging="0"/>
        <w:jc w:val="center"/>
        <w:rPr>
          <w:rFonts w:ascii="PT Astra Serif" w:hAnsi="PT Astra Serif" w:eastAsia="Calibri" w:cs="PT Astra Serif"/>
          <w:color w:val="auto"/>
          <w:sz w:val="24"/>
          <w:szCs w:val="24"/>
          <w:lang w:val="en-GB" w:eastAsia="zh-CN" w:bidi="ar-SA"/>
        </w:rPr>
      </w:pPr>
      <w:r>
        <w:rPr>
          <w:rFonts w:eastAsia="Calibri" w:cs="PT Astra Serif" w:ascii="PT Astra Serif" w:hAnsi="PT Astra Serif"/>
          <w:color w:val="auto"/>
          <w:sz w:val="24"/>
          <w:szCs w:val="24"/>
          <w:lang w:val="en-GB" w:eastAsia="zh-CN" w:bidi="ar-SA"/>
        </w:rPr>
        <w:t>о заключении договора или договоров о целевом обучении по образовательной программе среднего профессионального или высшего образования</w:t>
      </w:r>
    </w:p>
    <w:p>
      <w:pPr>
        <w:pStyle w:val="ConsPlusNonformat"/>
        <w:bidi w:val="0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 </w:t>
      </w:r>
    </w:p>
    <w:tbl>
      <w:tblPr>
        <w:tblW w:w="9773" w:type="dxa"/>
        <w:jc w:val="left"/>
        <w:tblInd w:w="2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24"/>
        <w:gridCol w:w="6148"/>
      </w:tblGrid>
      <w:tr>
        <w:trPr/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1. Общие сведения</w:t>
            </w:r>
          </w:p>
        </w:tc>
        <w:tc>
          <w:tcPr>
            <w:tcW w:w="6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nformat"/>
              <w:widowControl w:val="false"/>
              <w:bidi w:val="0"/>
              <w:snapToGrid w:val="false"/>
              <w:ind w:left="0" w:right="0" w:hanging="0"/>
              <w:jc w:val="left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Полное  наименование заказчика целевого обучения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nformat"/>
              <w:widowControl w:val="false"/>
              <w:bidi w:val="0"/>
              <w:snapToGrid w:val="false"/>
              <w:ind w:left="0" w:right="0" w:hanging="0"/>
              <w:jc w:val="both"/>
              <w:rPr/>
            </w:pPr>
            <w:r>
              <w:rPr>
                <w:rFonts w:eastAsia="Calibri" w:cs="PT Astra Serif" w:ascii="PT Astra Serif" w:hAnsi="PT Astra Serif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GB" w:eastAsia="zh-CN" w:bidi="ar-SA"/>
              </w:rPr>
              <w:t>Федеральное государственное унитарное предприятие «Горно-химический комбинат», ул. Ленина, 53, ЗАТО Железногорск, Красноярский край</w:t>
            </w: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.</w:t>
            </w:r>
          </w:p>
        </w:tc>
      </w:tr>
      <w:tr>
        <w:trPr>
          <w:trHeight w:val="425" w:hRule="atLeast"/>
        </w:trPr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Срок действия предложения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/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До 31 август</w:t>
            </w:r>
            <w:r>
              <w:rPr>
                <w:rFonts w:eastAsia="Calibri" w:cs="PT Astra Serif" w:ascii="PT Astra Serif" w:hAnsi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>а 2024 г.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Количество  договоров  о целевом обучении, которые заказчик намерен заключить в соответствии с настоящим предложением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3</w:t>
            </w:r>
          </w:p>
        </w:tc>
      </w:tr>
      <w:tr>
        <w:trPr>
          <w:trHeight w:val="1097" w:hRule="atLeast"/>
        </w:trPr>
        <w:tc>
          <w:tcPr>
            <w:tcW w:w="9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2. Предложения адресовано гражданам, поступающим на целевое обучение по образовательным программам высшего образования за счёт бюджетных ассигнований федерального бюджета в пределах установленной квоты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3. Требование заказчика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Средний балл по аттестату о среднем общем образовании не ниже 4.0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Отсутствие медицинских противопоказаний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Гражданство РФ (статья 14 ФЗ-115 от 25.07.2002)</w:t>
            </w:r>
          </w:p>
        </w:tc>
      </w:tr>
      <w:tr>
        <w:trPr/>
        <w:tc>
          <w:tcPr>
            <w:tcW w:w="97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4.Характеристика образовательной программы, в соответствии с которыми гражданин должен поступить на обучение и освоить образовательную программу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left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Уровень образования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left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Высшее образование</w:t>
            </w:r>
          </w:p>
        </w:tc>
      </w:tr>
      <w:tr>
        <w:trPr/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Код и наименование профессии, специальности, направления подготовки</w:t>
            </w:r>
          </w:p>
        </w:tc>
        <w:tc>
          <w:tcPr>
            <w:tcW w:w="6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14.03.02 Автоматизация технологических процессов и производств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Наименование образовательной организации, осуществляющей образовательную деятельность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color w:val="auto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kern w:val="0"/>
                <w:sz w:val="24"/>
                <w:szCs w:val="24"/>
                <w:lang w:val="en-GB" w:eastAsia="zh-CN" w:bidi="ar-SA"/>
              </w:rPr>
              <w:t>ФГАОУ ВО «Сибирский государственный университет науки и технологии имени академика М.Ф. Решетнева»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Форма обучения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Очная, Бакалавриат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5. Год завершения освоения гражданином образовательной программы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2028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cs="PT Astra Serif"/>
                <w:sz w:val="24"/>
                <w:szCs w:val="24"/>
                <w:shd w:fill="auto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</w:rPr>
              <w:t>6. Сведения о требованиях к лицам, осуществляющим трудовую деятельность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>Отсутствие медицинских противопоказаний в соответствии с Приказом Министерства Здравоохранения Российской Федерации от 28.01.2021 №29н по вредным и (или) опасным производственным факторам и работам: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>п.4.1. Ионизирующее излучение;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PT Astra Serif" w:ascii="PT Astra Serif" w:hAnsi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 xml:space="preserve">п. </w:t>
            </w:r>
            <w:r>
              <w:rPr>
                <w:rFonts w:eastAsia="Calibri" w:cs="PT Astra Serif" w:ascii="PT Astra Serif" w:hAnsi="PT Astra Serif"/>
                <w:color w:val="000000"/>
                <w:kern w:val="0"/>
                <w:sz w:val="24"/>
                <w:szCs w:val="24"/>
                <w:shd w:fill="auto" w:val="clear"/>
                <w:lang w:val="en-GB" w:eastAsia="zh-CN" w:bidi="ar-SA"/>
              </w:rPr>
              <w:t xml:space="preserve">6.1, </w:t>
            </w:r>
            <w:r>
              <w:rPr>
                <w:rFonts w:eastAsia="Calibri" w:cs="PT Astra Serif" w:ascii="PT Astra Serif" w:hAnsi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>6.2. Работы на высоте;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PT Astra Serif" w:ascii="PT Astra Serif" w:hAnsi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 xml:space="preserve">п.9. </w:t>
            </w:r>
            <w:r>
              <w:rPr>
                <w:rFonts w:eastAsia="Calibri" w:cs="PT Astra Serif" w:ascii="PT Astra Serif" w:hAnsi="PT Astra Serif"/>
                <w:color w:val="000000"/>
                <w:kern w:val="0"/>
                <w:sz w:val="24"/>
                <w:szCs w:val="24"/>
                <w:shd w:fill="auto" w:val="clear"/>
                <w:lang w:val="en-GB" w:eastAsia="zh-CN" w:bidi="ar-SA"/>
              </w:rPr>
              <w:t>Работы, связанные с техническим обслуживанием электроустановок (50в и выше переменного тока, 75в и выше постоянного тока);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color w:val="000000"/>
                <w:kern w:val="0"/>
                <w:sz w:val="24"/>
                <w:szCs w:val="24"/>
                <w:shd w:fill="auto" w:val="clear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0"/>
                <w:sz w:val="24"/>
                <w:szCs w:val="24"/>
                <w:shd w:fill="auto" w:val="clear"/>
                <w:lang w:val="en-GB" w:eastAsia="zh-CN" w:bidi="ar-SA"/>
              </w:rPr>
              <w:t>3.1.1 Аэрозоли, преимущественно фиброгенного действия;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Calibri" w:cs="PT Astra Serif" w:ascii="PT Astra Serif" w:hAnsi="PT Astra Serif"/>
                <w:color w:val="000000"/>
                <w:kern w:val="0"/>
                <w:sz w:val="24"/>
                <w:szCs w:val="24"/>
                <w:shd w:fill="auto" w:val="clear"/>
                <w:lang w:val="en-GB" w:eastAsia="zh-CN" w:bidi="ar-SA"/>
              </w:rPr>
              <w:t>п. 12 Работы непосредственно связанные с обслуживанием оборудования, работающего под избыточным давлением;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Calibri" w:cs="PT Astra Serif"/>
                <w:color w:val="000000"/>
                <w:kern w:val="0"/>
                <w:sz w:val="24"/>
                <w:szCs w:val="24"/>
                <w:shd w:fill="auto" w:val="clear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0"/>
                <w:sz w:val="24"/>
                <w:szCs w:val="24"/>
                <w:shd w:fill="auto" w:val="clear"/>
                <w:lang w:val="en-GB" w:eastAsia="zh-CN" w:bidi="ar-SA"/>
              </w:rPr>
              <w:t>п. 17 Работы, выполняемые непосредственно с применением изолирующих СИЗОД Работы, выполняемые непосредственно с применением изолирующих СИЗОД.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7. Сведения о мерах поддержки, предоставляемых гражданину в период обучения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Прохождение всех видов практической подготовки на площадках предприятия с трудоустройством на время практики;</w:t>
            </w:r>
          </w:p>
          <w:p>
            <w:pPr>
              <w:pStyle w:val="Style37"/>
              <w:widowControl w:val="false"/>
              <w:snapToGrid w:val="false"/>
              <w:jc w:val="both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- Бесплатное проживание в общежитии</w:t>
            </w: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</w:rPr>
              <w:t xml:space="preserve"> для иногородних студентов в период практики;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Лечебно-профилактическое питание в случае прохождения практики в условиях, отличных от нормальных;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- Целевая стипендия в объеме на уровне не ниже размера государственной академической стипендии (16 242 рублей до вычета НДФЛ).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8. Сведения о мерах социальной поддержки, об иных социальных гарантиях и о выплатах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/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- Материальная помощь при трудоустройстве молодым специалистам выплачивается от 30 000 рублей;</w:t>
            </w:r>
          </w:p>
          <w:p>
            <w:pPr>
              <w:pStyle w:val="Style37"/>
              <w:widowControl w:val="false"/>
              <w:snapToGrid w:val="false"/>
              <w:jc w:val="both"/>
              <w:rPr/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 xml:space="preserve">- Материальная помощь молодым специалистам на обустройство быта до 50 000 рублей (в </w:t>
            </w:r>
            <w:r>
              <w:rPr>
                <w:rFonts w:eastAsia="Calibri" w:cs="PT Astra Serif" w:ascii="PT Astra Serif" w:hAnsi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>случае переезда в г. Железногорск для работы на предприятии)</w:t>
            </w: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;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- Годовая премия по итогам работы от 90 000 рублей;</w:t>
            </w:r>
          </w:p>
          <w:p>
            <w:pPr>
              <w:pStyle w:val="Style37"/>
              <w:widowControl w:val="false"/>
              <w:snapToGrid w:val="false"/>
              <w:jc w:val="both"/>
              <w:rPr/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- Служебная квартира на период трудовых отношений или частичная компенсация аренды жил</w:t>
            </w:r>
            <w:r>
              <w:rPr>
                <w:rFonts w:eastAsia="Calibri" w:cs="PT Astra Serif" w:ascii="PT Astra Serif" w:hAnsi="PT Astra Serif"/>
                <w:b w:val="false"/>
                <w:bCs w:val="false"/>
                <w:color w:val="auto"/>
                <w:sz w:val="24"/>
                <w:szCs w:val="24"/>
                <w:lang w:val="en-GB" w:eastAsia="zh-CN" w:bidi="ar-SA"/>
              </w:rPr>
              <w:t xml:space="preserve">ья (в </w:t>
            </w:r>
            <w:r>
              <w:rPr>
                <w:rFonts w:eastAsia="Calibri" w:cs="PT Astra Serif" w:ascii="PT Astra Serif" w:hAnsi="PT Astra Serif"/>
                <w:b w:val="false"/>
                <w:bCs w:val="false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>случае переезда в г. Железногорск для работы на предприятии</w:t>
            </w:r>
            <w:r>
              <w:rPr>
                <w:rFonts w:eastAsia="Calibri" w:cs="PT Astra Serif" w:ascii="PT Astra Serif" w:hAnsi="PT Astra Serif"/>
                <w:b w:val="false"/>
                <w:bCs w:val="false"/>
                <w:color w:val="auto"/>
                <w:sz w:val="24"/>
                <w:szCs w:val="24"/>
                <w:lang w:val="en-GB" w:eastAsia="zh-CN" w:bidi="ar-SA"/>
              </w:rPr>
              <w:t>);</w:t>
            </w:r>
          </w:p>
          <w:p>
            <w:pPr>
              <w:pStyle w:val="Style37"/>
              <w:widowControl w:val="false"/>
              <w:snapToGrid w:val="false"/>
              <w:jc w:val="both"/>
              <w:rPr/>
            </w:pPr>
            <w:r>
              <w:rPr>
                <w:rFonts w:eastAsia="Calibri" w:cs="PT Astra Serif" w:ascii="PT Astra Serif" w:hAnsi="PT Astra Serif"/>
                <w:b w:val="false"/>
                <w:bCs w:val="false"/>
                <w:color w:val="auto"/>
                <w:sz w:val="24"/>
                <w:szCs w:val="24"/>
                <w:lang w:val="en-GB" w:eastAsia="zh-CN" w:bidi="ar-SA"/>
              </w:rPr>
              <w:t>- Компенсация выплаты процентов при оформлении ипо</w:t>
            </w:r>
            <w:r>
              <w:rPr>
                <w:rFonts w:eastAsia="Calibri" w:cs="PT Astra Serif" w:ascii="PT Astra Serif" w:hAnsi="PT Astra Serif"/>
                <w:b w:val="false"/>
                <w:bCs w:val="false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>теки, воз</w:t>
            </w:r>
            <w:r>
              <w:rPr>
                <w:rFonts w:eastAsia="Calibri" w:cs="PT Astra Serif" w:ascii="PT Astra Serif" w:hAnsi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>врат до 70% от ставки по кредиту;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- Расширенный пакет добровольно-медицинского страхования со стоматологией;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- Санаторно-курортное лечение в профилактории предприятия и санаториях по России;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- Оказание помощи в различных жизненных ситуациях.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eastAsia="Calibri" w:cs="PT Astra Serif"/>
                <w:color w:val="auto"/>
                <w:sz w:val="24"/>
                <w:szCs w:val="24"/>
                <w:lang w:val="en-GB" w:eastAsia="zh-CN" w:bidi="ar-SA"/>
              </w:rPr>
            </w:pP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</w:r>
          </w:p>
        </w:tc>
      </w:tr>
      <w:tr>
        <w:trPr/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9. Сведения о трудовой деятельности в соответсвии с получаемой квалификацией, которую будет осуществлять гражданин в соответсвии с договором о целевом обучении</w:t>
            </w:r>
          </w:p>
        </w:tc>
        <w:tc>
          <w:tcPr>
            <w:tcW w:w="6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shd w:fill="auto" w:val="clear"/>
              </w:rPr>
            </w:pPr>
            <w:r>
              <w:rPr>
                <w:rFonts w:eastAsia="PT Astra Serif" w:cs="PT Astra Serif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ar-SA"/>
              </w:rPr>
              <w:t>Т</w:t>
            </w:r>
            <w:r>
              <w:rPr>
                <w:rFonts w:eastAsia="PT Astra Serif" w:cs="PT Astra Serif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ar-SA"/>
              </w:rPr>
              <w:t>рудоустройство не позднее двух месяцев после окончания обучения, о</w:t>
            </w:r>
            <w:r>
              <w:rPr>
                <w:rFonts w:eastAsia="PT Astra Serif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ar-SA"/>
              </w:rPr>
              <w:t>существление трудовой деятельности в течение 3 лет в соответствии с полученной квалификацией.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shd w:fill="auto" w:val="clear"/>
              </w:rPr>
            </w:pPr>
            <w:r>
              <w:rPr>
                <w:rFonts w:eastAsia="PT Astra Serif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ar-SA"/>
              </w:rPr>
              <w:t>Задачи: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shd w:fill="auto" w:val="clear"/>
              </w:rPr>
            </w:pPr>
            <w:r>
              <w:rPr>
                <w:rFonts w:eastAsia="PT Astra Serif" w:cs="PT Astra Serif" w:ascii="PT Astra Serif" w:hAnsi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ar-SA"/>
              </w:rPr>
              <w:t>- о</w:t>
            </w: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</w:rPr>
              <w:t>беспечение работоспособности автоматизированн</w:t>
            </w:r>
            <w:r>
              <w:rPr>
                <w:rFonts w:eastAsia="Calibri" w:cs="PT Astra Serif" w:ascii="PT Astra Serif" w:hAnsi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>ых</w:t>
            </w: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</w:rPr>
              <w:t xml:space="preserve"> систем управления технологическими процессами (АСУТП), автоматизированных систем управления производством (АСУП).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shd w:fill="auto" w:val="clear"/>
              </w:rPr>
            </w:pP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</w:rPr>
              <w:t xml:space="preserve">- выполнение работ по разработке, внедрению и сопровождению программного обеспечения (ПО) автоматизированных систем управления и контроля, а также работ по эксплуатации, сопровождению, реконструкции и наладке </w:t>
            </w:r>
            <w:r>
              <w:rPr>
                <w:rFonts w:eastAsia="Calibri" w:cs="PT Astra Serif" w:ascii="PT Astra Serif" w:hAnsi="PT Astra Serif"/>
                <w:color w:val="000000"/>
                <w:sz w:val="24"/>
                <w:szCs w:val="24"/>
                <w:shd w:fill="auto" w:val="clear"/>
                <w:lang w:val="en-GB" w:eastAsia="zh-CN" w:bidi="ar-SA"/>
              </w:rPr>
              <w:t>средств измерения и автоматики</w:t>
            </w: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</w:rPr>
              <w:t xml:space="preserve"> технологических процессов и радиационного контроля.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10. Минимальный уровень оплаты труда в рублях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От 60 000 рублей за вычетом НДФЛ (уточняется при трудоустройстве с учетом ежегодной индексации заработной платы)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11. Сведения о требовании к успеваемости гражданина и порядка сокращения заказчиков целевого обучения мер поддержки при невыполнении гражданином этих требований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Отсутствие академической задолженности;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- Средний балл </w:t>
            </w: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по итогам промежуточной или итоговой аттестации (сессии) не ниже 4;</w:t>
            </w:r>
          </w:p>
          <w:p>
            <w:pPr>
              <w:pStyle w:val="Style37"/>
              <w:widowControl w:val="false"/>
              <w:snapToGrid w:val="false"/>
              <w:jc w:val="both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- В случае наличия академической задолженности или среднего балла </w:t>
            </w: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по итогам промежуточной или итоговой аттестации (сессии) ниже 4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 стипендия не выплачивается;</w:t>
            </w:r>
          </w:p>
          <w:p>
            <w:pPr>
              <w:pStyle w:val="Style37"/>
              <w:widowControl w:val="false"/>
              <w:snapToGrid w:val="false"/>
              <w:jc w:val="both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- Выплата возобновляется с 1 числа месяца следующего за месяцем в котором устранена академическая задолженность или средний балл по и</w:t>
            </w:r>
            <w:r>
              <w:rPr>
                <w:rFonts w:eastAsia="Calibri" w:cs="PT Astra Serif" w:ascii="PT Astra Serif" w:hAnsi="PT Astra Serif"/>
                <w:color w:val="auto"/>
                <w:sz w:val="24"/>
                <w:szCs w:val="24"/>
                <w:lang w:val="en-GB" w:eastAsia="zh-CN" w:bidi="ar-SA"/>
              </w:rPr>
              <w:t>тогам промежуточной или итоговой аттестации (сессии) повышен до 4 и более.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12. Сведения об ответственности за неисполненние обязательств по договору о целевом обучении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napToGrid w:val="false"/>
              <w:ind w:left="0" w:right="0" w:hanging="0"/>
              <w:jc w:val="both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Заказчик или гражданин несут в порядке, установленном разделом VII Постановления Правительства РФ от 27.04.2024 №555 «О целевом обучении по образовательным программам среднего профессионального и высшего образования», ответственность за неисполнение обязательств по договору о целевом обучении, расторжение договора о целевом обучении в одностороннем поря</w:t>
            </w:r>
            <w:r>
              <w:rPr>
                <w:rFonts w:cs="PT Astra Serif" w:ascii="PT Astra Serif" w:hAnsi="PT Astra Serif"/>
                <w:sz w:val="24"/>
                <w:szCs w:val="24"/>
                <w:shd w:fill="auto" w:val="clear"/>
              </w:rPr>
              <w:t>дке.</w:t>
            </w:r>
          </w:p>
        </w:tc>
      </w:tr>
      <w:tr>
        <w:trPr/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widowControl w:val="false"/>
              <w:suppressLineNumbers/>
              <w:suppressAutoHyphens w:val="true"/>
              <w:bidi w:val="0"/>
              <w:snapToGrid w:val="false"/>
              <w:ind w:left="0" w:right="0" w:hanging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13. Контакты ответственных лиц за организацию заключения договора о целевом обучении</w:t>
            </w:r>
          </w:p>
        </w:tc>
        <w:tc>
          <w:tcPr>
            <w:tcW w:w="6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Эксперт отдела подбора оценки и развития персонала Стегниенко Наталья Викторовна, 8(3919)75-</w:t>
            </w:r>
            <w:r>
              <w:rPr>
                <w:rFonts w:eastAsia="Calibri" w:cs="PT Astra Serif" w:ascii="PT Astra Serif" w:hAnsi="PT Astra Serif"/>
                <w:color w:val="auto"/>
                <w:kern w:val="0"/>
                <w:sz w:val="24"/>
                <w:szCs w:val="24"/>
                <w:lang w:val="en-GB" w:eastAsia="zh-CN" w:bidi="ar-SA"/>
              </w:rPr>
              <w:t>96-21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Эксперт отдела подбора оценки и развития персонала Исаева Дарина Николаевна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8(3919)75-37-19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Специалист отдела подбора оценки и развития персонала Вергелес Юлия Геннадьевна</w:t>
            </w:r>
          </w:p>
          <w:p>
            <w:pPr>
              <w:pStyle w:val="Style37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8(3919)72-31-45</w:t>
            </w:r>
          </w:p>
        </w:tc>
      </w:tr>
    </w:tbl>
    <w:p>
      <w:pPr>
        <w:pStyle w:val="Normal"/>
        <w:ind w:left="0" w:right="0" w:hang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</w:r>
    </w:p>
    <w:p>
      <w:pPr>
        <w:pStyle w:val="Normal"/>
        <w:ind w:left="0" w:right="0" w:hanging="0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</w:r>
    </w:p>
    <w:tbl>
      <w:tblPr>
        <w:tblW w:w="9927" w:type="dxa"/>
        <w:jc w:val="left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1"/>
        <w:gridCol w:w="1604"/>
        <w:gridCol w:w="414"/>
        <w:gridCol w:w="2577"/>
      </w:tblGrid>
      <w:tr>
        <w:trPr/>
        <w:tc>
          <w:tcPr>
            <w:tcW w:w="5331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предприятия по управлению персоналом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 w:val="false"/>
              <w:ind w:left="-114" w:right="0" w:hanging="0"/>
              <w:rPr>
                <w:rStyle w:val="Style16"/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14" w:type="dxa"/>
            <w:tcBorders/>
            <w:vAlign w:val="bottom"/>
          </w:tcPr>
          <w:p>
            <w:pPr>
              <w:pStyle w:val="Normal"/>
              <w:widowControl w:val="false"/>
              <w:ind w:left="-114" w:right="0" w:hanging="0"/>
              <w:jc w:val="right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</w:r>
          </w:p>
        </w:tc>
        <w:tc>
          <w:tcPr>
            <w:tcW w:w="2577" w:type="dxa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А.Г. Бейгель</w:t>
            </w:r>
          </w:p>
        </w:tc>
      </w:tr>
    </w:tbl>
    <w:p>
      <w:pPr>
        <w:pStyle w:val="Normal"/>
        <w:jc w:val="both"/>
        <w:rPr>
          <w:szCs w:val="28"/>
          <w:lang w:val="ru-RU" w:eastAsia="ru-RU"/>
        </w:rPr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418" w:right="567" w:header="278" w:top="335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05"/>
    </w:tblGrid>
    <w:tr>
      <w:trPr>
        <w:trHeight w:val="567" w:hRule="exact"/>
      </w:trPr>
      <w:tc>
        <w:tcPr>
          <w:tcW w:w="9905" w:type="dxa"/>
          <w:tcBorders/>
          <w:vAlign w:val="center"/>
        </w:tcPr>
        <w:p>
          <w:pPr>
            <w:pStyle w:val="Style27"/>
            <w:widowControl w:val="false"/>
            <w:jc w:val="center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</w:tbl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4"/>
      <w:lang w:val="en-GB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2">
    <w:name w:val=" Знак Знак2"/>
    <w:basedOn w:val="Style14"/>
    <w:qFormat/>
    <w:rPr/>
  </w:style>
  <w:style w:type="character" w:styleId="1">
    <w:name w:val=" Знак Знак1"/>
    <w:basedOn w:val="Style14"/>
    <w:qFormat/>
    <w:rPr/>
  </w:style>
  <w:style w:type="character" w:styleId="Style15">
    <w:name w:val=" Знак Знак"/>
    <w:qFormat/>
    <w:rPr>
      <w:rFonts w:ascii="Segoe UI" w:hAnsi="Segoe UI" w:cs="Segoe UI"/>
      <w:sz w:val="18"/>
      <w:szCs w:val="18"/>
    </w:rPr>
  </w:style>
  <w:style w:type="character" w:styleId="Style16">
    <w:name w:val="Замещающий текст"/>
    <w:qFormat/>
    <w:rPr>
      <w:color w:val="808080"/>
    </w:rPr>
  </w:style>
  <w:style w:type="character" w:styleId="Style17">
    <w:name w:val="Текст документа Знак"/>
    <w:qFormat/>
    <w:rPr>
      <w:rFonts w:ascii="Times New Roman" w:hAnsi="Times New Roman" w:cs="Times New Roman"/>
      <w:sz w:val="28"/>
      <w:lang w:val="ru-RU"/>
    </w:rPr>
  </w:style>
  <w:style w:type="character" w:styleId="Style18">
    <w:name w:val="Интернет-ссылка"/>
    <w:rPr>
      <w:color w:val="0000FF"/>
      <w:u w:val="single"/>
    </w:rPr>
  </w:style>
  <w:style w:type="character" w:styleId="PlaceholderText">
    <w:name w:val="Placeholder Text"/>
    <w:qFormat/>
    <w:rPr>
      <w:color w:val="808080"/>
    </w:rPr>
  </w:style>
  <w:style w:type="character" w:styleId="Style19">
    <w:name w:val="Маркеры"/>
    <w:qFormat/>
    <w:rPr>
      <w:rFonts w:ascii="OpenSymbol;Arial Unicode MS" w:hAnsi="OpenSymbol;Arial Unicode MS" w:eastAsia="OpenSymbol;Arial Unicode MS" w:cs="OpenSymbol;Arial Unicode MS"/>
    </w:rPr>
  </w:style>
  <w:style w:type="character" w:styleId="Style20">
    <w:name w:val="Знак Знак"/>
    <w:qFormat/>
    <w:rPr>
      <w:rFonts w:ascii="Segoe UI" w:hAnsi="Segoe UI" w:eastAsia="Segoe UI"/>
      <w:sz w:val="18"/>
      <w:szCs w:val="18"/>
    </w:rPr>
  </w:style>
  <w:style w:type="character" w:styleId="11">
    <w:name w:val="Знак Знак1"/>
    <w:qFormat/>
    <w:rPr/>
  </w:style>
  <w:style w:type="character" w:styleId="21">
    <w:name w:val="Знак Знак2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/>
    <w:rPr/>
  </w:style>
  <w:style w:type="paragraph" w:styleId="Style28">
    <w:name w:val="Footer"/>
    <w:basedOn w:val="Normal"/>
    <w:pPr/>
    <w:rPr/>
  </w:style>
  <w:style w:type="paragraph" w:styleId="Style2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30">
    <w:name w:val="Текст документа"/>
    <w:basedOn w:val="Normal"/>
    <w:qFormat/>
    <w:pPr>
      <w:ind w:left="0" w:right="0" w:firstLine="709"/>
      <w:jc w:val="both"/>
    </w:pPr>
    <w:rPr>
      <w:lang w:val="ru-RU"/>
    </w:rPr>
  </w:style>
  <w:style w:type="paragraph" w:styleId="759A55BC53E84DC8BF72092AEEA73D83">
    <w:name w:val="759A55BC53E84DC8BF72092AEEA73D83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Style31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45132BE43F084F13BA22A5DDA9235EDE2">
    <w:name w:val="45132BE43F084F13BA22A5DDA9235EDE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en-GB" w:eastAsia="zh-CN" w:bidi="ar-SA"/>
    </w:rPr>
  </w:style>
  <w:style w:type="paragraph" w:styleId="Style32">
    <w:name w:val="Справочные данные"/>
    <w:basedOn w:val="Normal"/>
    <w:qFormat/>
    <w:pPr>
      <w:jc w:val="center"/>
    </w:pPr>
    <w:rPr>
      <w:rFonts w:cs="Times New Roman"/>
      <w:sz w:val="22"/>
      <w:szCs w:val="22"/>
      <w:lang w:val="ru-RU" w:eastAsia="ru-RU"/>
    </w:rPr>
  </w:style>
  <w:style w:type="paragraph" w:styleId="Style33">
    <w:name w:val="Наименование организации"/>
    <w:basedOn w:val="Normal"/>
    <w:qFormat/>
    <w:pPr>
      <w:jc w:val="center"/>
    </w:pPr>
    <w:rPr>
      <w:rFonts w:cs="Times New Roman"/>
      <w:b/>
      <w:sz w:val="24"/>
      <w:lang w:val="ru-RU" w:eastAsia="ru-RU"/>
    </w:rPr>
  </w:style>
  <w:style w:type="paragraph" w:styleId="Style34">
    <w:name w:val="Строка разделить"/>
    <w:basedOn w:val="Normal"/>
    <w:qFormat/>
    <w:pPr>
      <w:jc w:val="center"/>
    </w:pPr>
    <w:rPr>
      <w:rFonts w:cs="Times New Roman"/>
      <w:sz w:val="10"/>
      <w:szCs w:val="10"/>
      <w:lang w:val="ru-RU" w:eastAsia="ru-RU"/>
    </w:rPr>
  </w:style>
  <w:style w:type="paragraph" w:styleId="Style35">
    <w:name w:val="Дата и номер"/>
    <w:basedOn w:val="Normal"/>
    <w:qFormat/>
    <w:pPr/>
    <w:rPr>
      <w:rFonts w:cs="Times New Roman"/>
      <w:sz w:val="20"/>
      <w:szCs w:val="20"/>
      <w:lang w:val="ru-RU" w:eastAsia="ru-RU"/>
    </w:rPr>
  </w:style>
  <w:style w:type="paragraph" w:styleId="45132BE43F084F13BA22A5DDA9235EDE3">
    <w:name w:val="45132BE43F084F13BA22A5DDA9235EDE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en-GB" w:eastAsia="zh-CN" w:bidi="ar-SA"/>
    </w:rPr>
  </w:style>
  <w:style w:type="paragraph" w:styleId="Style36">
    <w:name w:val="пометка дсп/кт"/>
    <w:basedOn w:val="ConsPlusNormal"/>
    <w:qFormat/>
    <w:pPr>
      <w:spacing w:lineRule="exact" w:line="300"/>
      <w:ind w:left="0" w:right="0" w:firstLine="6"/>
      <w:jc w:val="both"/>
    </w:pPr>
    <w:rPr>
      <w:rFonts w:cs="Times New Roman"/>
      <w:b/>
      <w:szCs w:val="28"/>
      <w:lang w:val="ru-RU" w:eastAsia="ru-RU"/>
    </w:rPr>
  </w:style>
  <w:style w:type="paragraph" w:styleId="Style37">
    <w:name w:val="Содержимое таблицы"/>
    <w:basedOn w:val="Normal"/>
    <w:qFormat/>
    <w:pPr>
      <w:widowControl w:val="false"/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Содержимое врезки"/>
    <w:basedOn w:val="Normal"/>
    <w:qFormat/>
    <w:pPr/>
    <w:rPr/>
  </w:style>
  <w:style w:type="paragraph" w:styleId="Style40">
    <w:name w:val="Body Text Indent"/>
    <w:basedOn w:val="Normal"/>
    <w:qFormat/>
    <w:pPr>
      <w:ind w:left="0" w:right="0" w:firstLine="709"/>
      <w:jc w:val="both"/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0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tomlink@mcc.krasnoyarsk.su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2 ГХК должностной бланк письма предприятия.dotx</Template>
  <TotalTime>369</TotalTime>
  <Application>LibreOffice/7.0.6.2$Linux_X86_64 LibreOffice_project/00$Build-2</Application>
  <AppVersion>15.0000</AppVersion>
  <Pages>3</Pages>
  <Words>816</Words>
  <Characters>5851</Characters>
  <CharactersWithSpaces>6588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Дмитрий Михайлович</dc:creator>
  <dc:description/>
  <dc:language>ru-RU</dc:language>
  <cp:lastModifiedBy/>
  <cp:lastPrinted>2024-06-17T16:21:51Z</cp:lastPrinted>
  <dcterms:modified xsi:type="dcterms:W3CDTF">2024-06-17T16:21:41Z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