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4"/>
        <w:spacing w:before="60" w:after="0"/>
        <w:jc w:val="center"/>
        <w:rPr/>
      </w:pPr>
      <w:r>
        <w:rPr/>
        <w:t>Сводная ведомость результатов проведения специальной оценки условий труда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Наименование организации:</w:t>
      </w:r>
      <w:r>
        <w:rPr>
          <w:rStyle w:val="Style15"/>
        </w:rPr>
        <w:t xml:space="preserve"> </w:t>
      </w:r>
      <w:r>
        <w:rPr>
          <w:rStyle w:val="Style15"/>
        </w:rPr>
        <w:fldChar w:fldCharType="begin"/>
      </w:r>
      <w:r>
        <w:rPr>
          <w:rStyle w:val="Style15"/>
        </w:rPr>
        <w:instrText xml:space="preserve"> DOCVARIABLE ceh_info </w:instrText>
      </w:r>
      <w:r>
        <w:rPr>
          <w:rStyle w:val="Style15"/>
        </w:rPr>
        <w:fldChar w:fldCharType="separate"/>
      </w:r>
      <w:r>
        <w:rPr>
          <w:rStyle w:val="Style15"/>
        </w:rPr>
        <w:t>Федеральное государственное унитарное предприятие "Горно-химический комбинат"</w:t>
      </w:r>
      <w:r>
        <w:rPr>
          <w:rStyle w:val="Style15"/>
        </w:rPr>
        <w:fldChar w:fldCharType="end"/>
      </w:r>
      <w:r>
        <w:rPr>
          <w:rStyle w:val="Style15"/>
        </w:rPr>
        <w:t> </w:t>
      </w:r>
    </w:p>
    <w:p>
      <w:pPr>
        <w:pStyle w:val="Normal"/>
        <w:suppressAutoHyphens w:val="true"/>
        <w:jc w:val="right"/>
        <w:rPr/>
      </w:pPr>
      <w:r>
        <w:rPr/>
        <w:t>Таблица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69"/>
        <w:gridCol w:w="831"/>
        <w:gridCol w:w="3074"/>
        <w:gridCol w:w="1047"/>
        <w:gridCol w:w="1049"/>
        <w:gridCol w:w="1153"/>
        <w:gridCol w:w="1152"/>
        <w:gridCol w:w="1153"/>
        <w:gridCol w:w="1154"/>
        <w:gridCol w:w="1052"/>
      </w:tblGrid>
      <w:tr>
        <w:trPr>
          <w:trHeight w:val="475" w:hRule="atLeast"/>
        </w:trPr>
        <w:tc>
          <w:tcPr>
            <w:tcW w:w="3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7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>
        <w:trPr>
          <w:trHeight w:val="339" w:hRule="atLeast"/>
        </w:trPr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90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>
        <w:trPr>
          <w:trHeight w:val="313" w:hRule="atLeast"/>
        </w:trPr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>
      <w:pPr>
        <w:pStyle w:val="NoSpacing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jc w:val="right"/>
        <w:rPr/>
      </w:pPr>
      <w:r>
        <w:rPr/>
        <w:t>Таблица 2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945"/>
        <w:gridCol w:w="2617"/>
        <w:gridCol w:w="468"/>
        <w:gridCol w:w="471"/>
        <w:gridCol w:w="468"/>
        <w:gridCol w:w="469"/>
        <w:gridCol w:w="467"/>
        <w:gridCol w:w="470"/>
        <w:gridCol w:w="470"/>
        <w:gridCol w:w="468"/>
        <w:gridCol w:w="469"/>
        <w:gridCol w:w="468"/>
        <w:gridCol w:w="469"/>
        <w:gridCol w:w="469"/>
        <w:gridCol w:w="470"/>
        <w:gridCol w:w="931"/>
        <w:gridCol w:w="558"/>
        <w:gridCol w:w="698"/>
        <w:gridCol w:w="560"/>
        <w:gridCol w:w="558"/>
        <w:gridCol w:w="559"/>
        <w:gridCol w:w="560"/>
        <w:gridCol w:w="559"/>
        <w:gridCol w:w="491"/>
      </w:tblGrid>
      <w:tr>
        <w:trPr>
          <w:trHeight w:val="245" w:hRule="atLeast"/>
          <w:cantSplit w:val="true"/>
        </w:trPr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Индиви</w:t>
              <w:softHyphen/>
              <w:t>дуальный номер рабочего места</w:t>
            </w:r>
          </w:p>
        </w:tc>
        <w:tc>
          <w:tcPr>
            <w:tcW w:w="2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Профессия/</w:t>
              <w:br/>
              <w:t>должность/</w:t>
              <w:br/>
              <w:t xml:space="preserve">специальность работника 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702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Классы </w:t>
            </w:r>
            <w:r>
              <w:rPr>
                <w:color w:val="000000"/>
                <w:sz w:val="20"/>
              </w:rPr>
              <w:t>(подклассы)</w:t>
            </w:r>
            <w:r>
              <w:rPr>
                <w:sz w:val="20"/>
              </w:rPr>
              <w:t xml:space="preserve"> условий труда</w:t>
            </w:r>
          </w:p>
        </w:tc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>
              <w:rPr>
                <w:sz w:val="16"/>
                <w:szCs w:val="16"/>
              </w:rPr>
              <w:t>ы (да/нет)</w:t>
            </w: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Лечебно</w:t>
            </w:r>
            <w:r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Льготно</w:t>
            </w:r>
            <w:r>
              <w:rPr>
                <w:sz w:val="16"/>
                <w:szCs w:val="16"/>
              </w:rPr>
              <w:t>е пенсионное обеспечение (да/нет)</w:t>
            </w:r>
          </w:p>
        </w:tc>
      </w:tr>
      <w:tr>
        <w:trPr>
          <w:trHeight w:val="2254" w:hRule="atLeast"/>
          <w:cantSplit w:val="true"/>
        </w:trPr>
        <w:tc>
          <w:tcPr>
            <w:tcW w:w="9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6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ультразвук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ind w:left="113" w:right="113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ind w:left="113" w:right="113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ind w:left="113" w:right="113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ind w:left="113" w:right="113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ind w:left="113" w:right="113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ind w:left="113" w:right="113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ind w:left="113" w:right="113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4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ind w:left="113" w:right="113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Цех технических систем безопасности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Участок эксплуатации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Группа эксплуатации ТСФЗ ФХ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29120104А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охранно-пожарной сигнализации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29120105А (29120104А)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охранно-пожарной сигнализации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29120106А (29120104А)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охранно-пожарной сигнализации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29120107А (29120104А)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охранно-пожарной сигнализации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Группа эксплуатации ТСФЗ промобъекта нагорной части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29120404А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охранно-пожарной сигнализации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29120405А (29120404А)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охранно-пожарной сигнализации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29120406А (29120404А)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охранно-пожарной сигнализации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29120407А (29120404А)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охранно-пожарной сигнализации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29120408А (29120404А)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охранно-пожарной сигнализации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70" w:right="-104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>
      <w:pPr>
        <w:pStyle w:val="Normal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</w:r>
    </w:p>
    <w:p>
      <w:pPr>
        <w:pStyle w:val="Normal"/>
        <w:rPr>
          <w:lang w:val="en-US"/>
        </w:rPr>
      </w:pPr>
      <w:r>
        <w:rPr/>
        <w:t>Дата составления:</w:t>
      </w:r>
      <w:r>
        <w:rPr>
          <w:rStyle w:val="Style15"/>
        </w:rPr>
        <w:t xml:space="preserve"> </w:t>
      </w:r>
      <w:r>
        <w:rPr>
          <w:rStyle w:val="Style15"/>
        </w:rPr>
        <w:fldChar w:fldCharType="begin"/>
      </w:r>
      <w:r>
        <w:rPr>
          <w:rStyle w:val="Style15"/>
        </w:rPr>
        <w:instrText xml:space="preserve"> DOCVARIABLE fill_date </w:instrText>
      </w:r>
      <w:r>
        <w:rPr>
          <w:rStyle w:val="Style15"/>
        </w:rPr>
        <w:fldChar w:fldCharType="separate"/>
      </w:r>
      <w:r>
        <w:rPr>
          <w:rStyle w:val="Style15"/>
        </w:rPr>
        <w:t>29.12.2023</w:t>
      </w:r>
      <w:r>
        <w:rPr>
          <w:rStyle w:val="Style15"/>
        </w:rPr>
        <w:fldChar w:fldCharType="end"/>
      </w:r>
      <w:r>
        <w:rPr>
          <w:rStyle w:val="Style15"/>
          <w:lang w:val="en-US"/>
        </w:rPr>
        <w:t> 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Председатель комиссии по проведению специальной оценки условий труда</w:t>
      </w:r>
    </w:p>
    <w:tbl>
      <w:tblPr>
        <w:tblW w:w="1127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673"/>
        <w:gridCol w:w="283"/>
        <w:gridCol w:w="1841"/>
        <w:gridCol w:w="284"/>
        <w:gridCol w:w="3261"/>
        <w:gridCol w:w="283"/>
        <w:gridCol w:w="1649"/>
      </w:tblGrid>
      <w:tr>
        <w:trPr>
          <w:trHeight w:val="284" w:hRule="atLeast"/>
        </w:trPr>
        <w:tc>
          <w:tcPr>
            <w:tcW w:w="3673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Главный специалист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  <w:bookmarkStart w:id="7" w:name="com_pred"/>
            <w:bookmarkStart w:id="8" w:name="com_pred"/>
            <w:bookmarkEnd w:id="8"/>
          </w:p>
        </w:tc>
        <w:tc>
          <w:tcPr>
            <w:tcW w:w="1841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Федотов А.С.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top w:val="single" w:sz="4" w:space="0" w:color="000000"/>
            </w:tcBorders>
            <w:vAlign w:val="bottom"/>
          </w:tcPr>
          <w:p>
            <w:pPr>
              <w:pStyle w:val="Style25"/>
              <w:widowControl w:val="false"/>
              <w:rPr>
                <w:vertAlign w:val="superscript"/>
              </w:rPr>
            </w:pPr>
            <w:bookmarkStart w:id="9" w:name="s070_1"/>
            <w:bookmarkEnd w:id="9"/>
            <w:r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841" w:type="dxa"/>
            <w:tcBorders>
              <w:top w:val="single" w:sz="4" w:space="0" w:color="000000"/>
            </w:tcBorders>
            <w:vAlign w:val="bottom"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  <w:vAlign w:val="bottom"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3261" w:type="dxa"/>
            <w:tcBorders>
              <w:top w:val="single" w:sz="4" w:space="0" w:color="000000"/>
            </w:tcBorders>
            <w:vAlign w:val="bottom"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649" w:type="dxa"/>
            <w:tcBorders>
              <w:top w:val="single" w:sz="4" w:space="0" w:color="000000"/>
            </w:tcBorders>
            <w:vAlign w:val="bottom"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/>
      </w:pPr>
      <w:r>
        <w:rPr/>
        <w:t>Члены комиссии по проведению специальной оценки условий труда:</w:t>
      </w:r>
    </w:p>
    <w:tbl>
      <w:tblPr>
        <w:tblW w:w="1127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673"/>
        <w:gridCol w:w="283"/>
        <w:gridCol w:w="1841"/>
        <w:gridCol w:w="284"/>
        <w:gridCol w:w="3261"/>
        <w:gridCol w:w="283"/>
        <w:gridCol w:w="1649"/>
      </w:tblGrid>
      <w:tr>
        <w:trPr>
          <w:trHeight w:val="284" w:hRule="atLeast"/>
        </w:trPr>
        <w:tc>
          <w:tcPr>
            <w:tcW w:w="3673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Заместитель главного инженера по ОТ и РБ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  <w:bookmarkStart w:id="10" w:name="com_chlens"/>
            <w:bookmarkStart w:id="11" w:name="com_chlens"/>
            <w:bookmarkEnd w:id="11"/>
          </w:p>
        </w:tc>
        <w:tc>
          <w:tcPr>
            <w:tcW w:w="1841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Капустин Н.Ф.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top w:val="single" w:sz="4" w:space="0" w:color="000000"/>
            </w:tcBorders>
            <w:vAlign w:val="bottom"/>
          </w:tcPr>
          <w:p>
            <w:pPr>
              <w:pStyle w:val="Style25"/>
              <w:widowControl w:val="false"/>
              <w:rPr>
                <w:vertAlign w:val="superscript"/>
              </w:rPr>
            </w:pPr>
            <w:bookmarkStart w:id="12" w:name="s070_2"/>
            <w:bookmarkEnd w:id="12"/>
            <w:r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841" w:type="dxa"/>
            <w:tcBorders>
              <w:top w:val="single" w:sz="4" w:space="0" w:color="000000"/>
            </w:tcBorders>
            <w:vAlign w:val="bottom"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  <w:vAlign w:val="bottom"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3261" w:type="dxa"/>
            <w:tcBorders>
              <w:top w:val="single" w:sz="4" w:space="0" w:color="000000"/>
            </w:tcBorders>
            <w:vAlign w:val="bottom"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649" w:type="dxa"/>
            <w:tcBorders>
              <w:top w:val="single" w:sz="4" w:space="0" w:color="000000"/>
            </w:tcBorders>
            <w:vAlign w:val="bottom"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84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Бейгель А.Г.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84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326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649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Начальник ОМЭП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84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Четвериков А.А.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84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326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649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Начальник ОНОТиВП ПСР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84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Чургель Д.В.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84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326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649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Руководитель СОТ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84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Лебедев С.Л.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84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326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649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И.о. руководитель ОРБ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84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Шушканов А.В.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84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326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649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Начальник отдела ПО ЮУ ДПРиИК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84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Ощепков А.В.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84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326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649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Председатель ППО ГХК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84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Носорева С.И.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84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326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649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Юрисконсульт ППО ГХК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84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Лоптев Д.В.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84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326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649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Эксперт СОТ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84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  <w:t>Ивченко Е.А.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5"/>
              <w:widowControl w:val="false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84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3261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tcBorders/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649" w:type="dxa"/>
            <w:tcBorders>
              <w:top w:val="single" w:sz="4" w:space="0" w:color="000000"/>
            </w:tcBorders>
          </w:tcPr>
          <w:p>
            <w:pPr>
              <w:pStyle w:val="Style25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/>
      </w:pPr>
      <w:r>
        <w:rPr/>
        <w:t>Эксперт(-ы) организации, проводившей специальную оценку условий труда:</w:t>
      </w:r>
    </w:p>
    <w:tbl>
      <w:tblPr>
        <w:tblStyle w:val="a3"/>
        <w:tblW w:w="1130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652"/>
        <w:gridCol w:w="283"/>
        <w:gridCol w:w="1842"/>
        <w:gridCol w:w="284"/>
        <w:gridCol w:w="3260"/>
        <w:gridCol w:w="285"/>
        <w:gridCol w:w="1700"/>
      </w:tblGrid>
      <w:tr>
        <w:trPr>
          <w:trHeight w:val="284" w:hRule="atLeast"/>
        </w:trPr>
        <w:tc>
          <w:tcPr>
            <w:tcW w:w="3652" w:type="dxa"/>
            <w:tcBorders>
              <w:top w:val="nil"/>
              <w:left w:val="nil"/>
              <w:right w:val="nil"/>
            </w:tcBorders>
            <w:shd w:color="auto" w:fill="auto" w:val="clear"/>
            <w:vAlign w:val="bottom"/>
          </w:tcPr>
          <w:p>
            <w:pPr>
              <w:pStyle w:val="Style25"/>
              <w:widowControl/>
              <w:spacing w:before="0" w:after="0"/>
              <w:rPr>
                <w:rFonts w:ascii="Times New Roman" w:hAnsi="Times New Roman" w:eastAsia="Times New Roman" w:cs="Times New Roman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ru-RU" w:eastAsia="ru-RU" w:bidi="ar-SA"/>
              </w:rPr>
              <w:t>5205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  <w:vAlign w:val="bottom"/>
          </w:tcPr>
          <w:p>
            <w:pPr>
              <w:pStyle w:val="Style25"/>
              <w:widowControl/>
              <w:spacing w:before="0" w:after="0"/>
              <w:rPr>
                <w:rFonts w:ascii="Times New Roman" w:hAnsi="Times New Roman" w:eastAsia="Times New Roman" w:cs="Times New Roman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ru-RU" w:eastAsia="ru-RU" w:bidi="ar-SA"/>
              </w:rPr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color="auto" w:fill="auto" w:val="clear"/>
            <w:vAlign w:val="bottom"/>
          </w:tcPr>
          <w:p>
            <w:pPr>
              <w:pStyle w:val="Style25"/>
              <w:widowControl/>
              <w:spacing w:before="0" w:after="0"/>
              <w:rPr>
                <w:rFonts w:ascii="Times New Roman" w:hAnsi="Times New Roman" w:eastAsia="Times New Roman" w:cs="Times New Roman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ru-RU" w:eastAsia="ru-RU" w:bidi="ar-SA"/>
              </w:rPr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  <w:vAlign w:val="bottom"/>
          </w:tcPr>
          <w:p>
            <w:pPr>
              <w:pStyle w:val="Style25"/>
              <w:widowControl/>
              <w:spacing w:before="0" w:after="0"/>
              <w:rPr>
                <w:rFonts w:ascii="Times New Roman" w:hAnsi="Times New Roman" w:eastAsia="Times New Roman" w:cs="Times New Roman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ru-RU" w:eastAsia="ru-RU" w:bidi="ar-SA"/>
              </w:rPr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shd w:color="auto" w:fill="auto" w:val="clear"/>
            <w:vAlign w:val="bottom"/>
          </w:tcPr>
          <w:p>
            <w:pPr>
              <w:pStyle w:val="Style25"/>
              <w:widowControl/>
              <w:spacing w:before="0" w:after="0"/>
              <w:rPr>
                <w:rFonts w:ascii="Times New Roman" w:hAnsi="Times New Roman" w:eastAsia="Times New Roman" w:cs="Times New Roman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ru-RU" w:eastAsia="ru-RU" w:bidi="ar-SA"/>
              </w:rPr>
              <w:t>Яговцева Олеся Викторовна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  <w:vAlign w:val="bottom"/>
          </w:tcPr>
          <w:p>
            <w:pPr>
              <w:pStyle w:val="Style25"/>
              <w:widowControl/>
              <w:spacing w:before="0" w:after="0"/>
              <w:rPr>
                <w:rFonts w:ascii="Times New Roman" w:hAnsi="Times New Roman" w:eastAsia="Times New Roman" w:cs="Times New Roman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ru-RU" w:eastAsia="ru-RU" w:bidi="ar-SA"/>
              </w:rPr>
            </w:r>
          </w:p>
        </w:tc>
        <w:tc>
          <w:tcPr>
            <w:tcW w:w="1700" w:type="dxa"/>
            <w:tcBorders>
              <w:top w:val="nil"/>
              <w:left w:val="nil"/>
              <w:right w:val="nil"/>
            </w:tcBorders>
            <w:shd w:color="auto" w:fill="auto" w:val="clear"/>
            <w:vAlign w:val="bottom"/>
          </w:tcPr>
          <w:p>
            <w:pPr>
              <w:pStyle w:val="Style25"/>
              <w:widowControl/>
              <w:spacing w:before="0" w:after="0"/>
              <w:rPr>
                <w:rFonts w:ascii="Times New Roman" w:hAnsi="Times New Roman" w:eastAsia="Times New Roman" w:cs="Times New Roman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ru-RU" w:eastAsia="ru-RU" w:bidi="ar-SA"/>
              </w:rPr>
              <w:t>29.12.2023</w:t>
            </w:r>
          </w:p>
        </w:tc>
      </w:tr>
      <w:tr>
        <w:trPr>
          <w:trHeight w:val="284" w:hRule="atLeast"/>
        </w:trPr>
        <w:tc>
          <w:tcPr>
            <w:tcW w:w="3652" w:type="dxa"/>
            <w:tcBorders>
              <w:left w:val="nil"/>
              <w:bottom w:val="nil"/>
              <w:right w:val="nil"/>
            </w:tcBorders>
          </w:tcPr>
          <w:p>
            <w:pPr>
              <w:pStyle w:val="Style25"/>
              <w:widowControl/>
              <w:spacing w:before="0" w:after="0"/>
              <w:rPr>
                <w:b/>
                <w:b/>
                <w:vertAlign w:val="superscript"/>
              </w:rPr>
            </w:pPr>
            <w:r>
              <w:rPr>
                <w:rFonts w:eastAsia="Times New Roman" w:cs="Times New Roman"/>
                <w:kern w:val="0"/>
                <w:szCs w:val="20"/>
                <w:vertAlign w:val="superscript"/>
                <w:lang w:val="ru-RU" w:eastAsia="ru-RU" w:bidi="ar-SA"/>
              </w:rPr>
              <w:t>(№ в реестре экспертов)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5"/>
              <w:widowControl/>
              <w:spacing w:before="0" w:after="0"/>
              <w:rPr>
                <w:b/>
                <w:b/>
                <w:vertAlign w:val="superscript"/>
              </w:rPr>
            </w:pPr>
            <w:r>
              <w:rPr>
                <w:rFonts w:eastAsia="Times New Roman" w:cs="Times New Roman"/>
                <w:b/>
                <w:kern w:val="0"/>
                <w:szCs w:val="20"/>
                <w:vertAlign w:val="superscript"/>
                <w:lang w:val="ru-RU" w:eastAsia="ru-RU" w:bidi="ar-SA"/>
              </w:rPr>
            </w:r>
            <w:bookmarkStart w:id="13" w:name="fio_users"/>
            <w:bookmarkStart w:id="14" w:name="fio_users"/>
            <w:bookmarkEnd w:id="14"/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>
            <w:pPr>
              <w:pStyle w:val="Style25"/>
              <w:widowControl/>
              <w:spacing w:before="0" w:after="0"/>
              <w:rPr>
                <w:b/>
                <w:b/>
                <w:vertAlign w:val="superscript"/>
              </w:rPr>
            </w:pPr>
            <w:r>
              <w:rPr>
                <w:rFonts w:eastAsia="Times New Roman" w:cs="Times New Roman"/>
                <w:kern w:val="0"/>
                <w:szCs w:val="20"/>
                <w:vertAlign w:val="superscript"/>
                <w:lang w:val="ru-RU" w:eastAsia="ru-RU" w:bidi="ar-SA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5"/>
              <w:widowControl/>
              <w:spacing w:before="0" w:after="0"/>
              <w:rPr>
                <w:b/>
                <w:b/>
                <w:vertAlign w:val="superscript"/>
              </w:rPr>
            </w:pPr>
            <w:r>
              <w:rPr>
                <w:rFonts w:eastAsia="Times New Roman" w:cs="Times New Roman"/>
                <w:b/>
                <w:kern w:val="0"/>
                <w:szCs w:val="20"/>
                <w:vertAlign w:val="superscript"/>
                <w:lang w:val="ru-RU" w:eastAsia="ru-RU" w:bidi="ar-SA"/>
              </w:rPr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</w:tcPr>
          <w:p>
            <w:pPr>
              <w:pStyle w:val="Style25"/>
              <w:widowControl/>
              <w:spacing w:before="0" w:after="0"/>
              <w:rPr>
                <w:b/>
                <w:b/>
                <w:vertAlign w:val="superscript"/>
              </w:rPr>
            </w:pPr>
            <w:r>
              <w:rPr>
                <w:rFonts w:eastAsia="Times New Roman" w:cs="Times New Roman"/>
                <w:kern w:val="0"/>
                <w:szCs w:val="20"/>
                <w:vertAlign w:val="superscript"/>
                <w:lang w:val="ru-RU" w:eastAsia="ru-RU" w:bidi="ar-SA"/>
              </w:rPr>
              <w:t>(Ф.И.О.)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5"/>
              <w:widowControl/>
              <w:spacing w:before="0" w:after="0"/>
              <w:rPr>
                <w:vertAlign w:val="superscript"/>
              </w:rPr>
            </w:pPr>
            <w:r>
              <w:rPr>
                <w:rFonts w:eastAsia="Times New Roman" w:cs="Times New Roman"/>
                <w:kern w:val="0"/>
                <w:szCs w:val="20"/>
                <w:vertAlign w:val="superscript"/>
                <w:lang w:val="ru-RU" w:eastAsia="ru-RU" w:bidi="ar-SA"/>
              </w:rPr>
            </w: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</w:tcPr>
          <w:p>
            <w:pPr>
              <w:pStyle w:val="Style25"/>
              <w:widowControl/>
              <w:spacing w:before="0" w:after="0"/>
              <w:rPr>
                <w:vertAlign w:val="superscript"/>
              </w:rPr>
            </w:pPr>
            <w:r>
              <w:rPr>
                <w:rFonts w:eastAsia="Times New Roman" w:cs="Times New Roman"/>
                <w:kern w:val="0"/>
                <w:szCs w:val="20"/>
                <w:vertAlign w:val="superscript"/>
                <w:lang w:val="ru-RU" w:eastAsia="ru-RU" w:bidi="ar-SA"/>
              </w:rPr>
              <w:t>(дата)</w:t>
            </w:r>
          </w:p>
        </w:tc>
      </w:tr>
    </w:tbl>
    <w:p>
      <w:pPr>
        <w:pStyle w:val="Normal"/>
        <w:rPr>
          <w:lang w:val="en-US"/>
        </w:rPr>
      </w:pPr>
      <w:r>
        <w:rPr/>
      </w:r>
    </w:p>
    <w:sectPr>
      <w:type w:val="nextPage"/>
      <w:pgSz w:orient="landscape" w:w="16838" w:h="11906"/>
      <w:pgMar w:left="851" w:right="851" w:gutter="0" w:header="0" w:top="899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  <w:font w:name="Calibri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val="bestFit" w:percent="161"/>
  <w:defaultTabStop w:val="708"/>
  <w:autoHyphenation w:val="true"/>
  <w:compat>
    <w:compatSetting w:name="compatibilityMode" w:uri="http://schemas.microsoft.com/office/word" w:val="12"/>
  </w:compat>
  <w:hyphenationZone w:val="357"/>
  <w:themeFontLang w:val="ru-RU" w:eastAsia="" w:bidi=""/>
  <w:docVars>
    <w:docVar w:name="ceh_info" w:val="Федеральное государственное унитарное предприятие &quot;Горно-химический комбинат&quot;"/>
    <w:docVar w:name="fill_date" w:val="29.12.2023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9d6532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1">
    <w:name w:val="Heading 1"/>
    <w:basedOn w:val="Normal"/>
    <w:next w:val="Normal"/>
    <w:qFormat/>
    <w:rsid w:val="00c0355b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styleId="DefaultParagraphFont" w:default="1">
    <w:name w:val="Default Paragraph Font"/>
    <w:semiHidden/>
    <w:qFormat/>
    <w:rPr/>
  </w:style>
  <w:style w:type="character" w:styleId="Style13">
    <w:name w:val="Интернет-ссылка"/>
    <w:basedOn w:val="DefaultParagraphFont"/>
    <w:rsid w:val="0065289a"/>
    <w:rPr>
      <w:color w:val="0000FF"/>
      <w:u w:val="single"/>
    </w:rPr>
  </w:style>
  <w:style w:type="character" w:styleId="Style14" w:customStyle="1">
    <w:name w:val="Раздел Знак"/>
    <w:basedOn w:val="DefaultParagraphFont"/>
    <w:link w:val="Style24"/>
    <w:qFormat/>
    <w:rsid w:val="009d6532"/>
    <w:rPr>
      <w:b/>
      <w:color w:val="000000"/>
      <w:sz w:val="24"/>
      <w:szCs w:val="24"/>
      <w:lang w:val="ru-RU" w:eastAsia="ru-RU" w:bidi="ar-SA"/>
    </w:rPr>
  </w:style>
  <w:style w:type="character" w:styleId="Style15" w:customStyle="1">
    <w:name w:val="Поле"/>
    <w:basedOn w:val="DefaultParagraphFont"/>
    <w:qFormat/>
    <w:rsid w:val="009d6532"/>
    <w:rPr>
      <w:rFonts w:ascii="Times New Roman" w:hAnsi="Times New Roman"/>
      <w:sz w:val="24"/>
      <w:u w:val="single"/>
    </w:rPr>
  </w:style>
  <w:style w:type="character" w:styleId="Style16" w:customStyle="1">
    <w:name w:val="Верхний колонтитул Знак"/>
    <w:basedOn w:val="DefaultParagraphFont"/>
    <w:qFormat/>
    <w:rsid w:val="00795d96"/>
    <w:rPr>
      <w:sz w:val="24"/>
    </w:rPr>
  </w:style>
  <w:style w:type="character" w:styleId="Style17" w:customStyle="1">
    <w:name w:val="Нижний колонтитул Знак"/>
    <w:basedOn w:val="DefaultParagraphFont"/>
    <w:qFormat/>
    <w:rsid w:val="00795d96"/>
    <w:rPr>
      <w:sz w:val="24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ascii="PT Astra Serif" w:hAnsi="PT Astra Serif" w:cs="Noto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Style23" w:customStyle="1">
    <w:name w:val="Готовый"/>
    <w:basedOn w:val="Normal"/>
    <w:qFormat/>
    <w:rsid w:val="00dc0f74"/>
    <w:pPr>
      <w:widowControl w:val="false"/>
      <w:tabs>
        <w:tab w:val="clear" w:pos="708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/>
    </w:rPr>
  </w:style>
  <w:style w:type="paragraph" w:styleId="ConsPlusNonformat" w:customStyle="1">
    <w:name w:val="ConsPlusNonformat"/>
    <w:qFormat/>
    <w:rsid w:val="00e458f1"/>
    <w:pPr>
      <w:widowControl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rsid w:val="009d6532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4" w:customStyle="1">
    <w:name w:val="Раздел"/>
    <w:basedOn w:val="Normal"/>
    <w:link w:val="Style14"/>
    <w:qFormat/>
    <w:rsid w:val="009d6532"/>
    <w:pPr>
      <w:spacing w:before="60" w:after="0"/>
    </w:pPr>
    <w:rPr>
      <w:b/>
      <w:color w:val="000000"/>
      <w:szCs w:val="24"/>
    </w:rPr>
  </w:style>
  <w:style w:type="paragraph" w:styleId="Style25" w:customStyle="1">
    <w:name w:val="Табличный"/>
    <w:basedOn w:val="Normal"/>
    <w:qFormat/>
    <w:rsid w:val="009d6532"/>
    <w:pPr>
      <w:jc w:val="center"/>
    </w:pPr>
    <w:rPr>
      <w:sz w:val="20"/>
    </w:rPr>
  </w:style>
  <w:style w:type="paragraph" w:styleId="Style26">
    <w:name w:val="Колонтитул"/>
    <w:basedOn w:val="Normal"/>
    <w:qFormat/>
    <w:pPr/>
    <w:rPr/>
  </w:style>
  <w:style w:type="paragraph" w:styleId="Style27">
    <w:name w:val="Header"/>
    <w:basedOn w:val="Normal"/>
    <w:link w:val="Style16"/>
    <w:rsid w:val="00795d9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Footer"/>
    <w:basedOn w:val="Normal"/>
    <w:link w:val="Style17"/>
    <w:rsid w:val="00795d96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semiHidden/>
    <w:qFormat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9647f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Application>LibreOffice/7.3.6.2$Linux_X86_64 LibreOffice_project/30$Build-2</Application>
  <AppVersion>15.0000</AppVersion>
  <Pages>3</Pages>
  <Words>662</Words>
  <Characters>3412</Characters>
  <CharactersWithSpaces>3664</CharactersWithSpaces>
  <Paragraphs>423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2024-01-24T02:40:00Z</dcterms:created>
  <dc:creator>o.yagovceva</dc:creator>
  <dc:description/>
  <dc:language>ru-RU</dc:language>
  <cp:lastModifiedBy/>
  <dcterms:modified xsi:type="dcterms:W3CDTF">2024-02-15T12:13:25Z</dcterms:modified>
  <cp:revision>2</cp:revision>
  <dc:subject/>
  <dc:title>Сводная ведомость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